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855"/>
        <w:gridCol w:w="9024"/>
      </w:tblGrid>
      <w:tr w:rsidR="002603A9" w:rsidRPr="002603A9" w14:paraId="323DB8F6" w14:textId="77777777" w:rsidTr="002603A9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17FCE77" w14:textId="77777777" w:rsidR="002603A9" w:rsidRPr="002603A9" w:rsidRDefault="002603A9" w:rsidP="002603A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  <w:p w14:paraId="3F207D34" w14:textId="77777777" w:rsidR="002603A9" w:rsidRPr="002603A9" w:rsidRDefault="002603A9" w:rsidP="002603A9">
            <w:pPr>
              <w:spacing w:after="240" w:line="240" w:lineRule="auto"/>
              <w:ind w:left="720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C7002CA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Rozpoczęcie zajęć dydaktyczno-wychowawczych</w:t>
            </w:r>
          </w:p>
        </w:tc>
        <w:tc>
          <w:tcPr>
            <w:tcW w:w="9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027E37D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lang w:eastAsia="pl-PL"/>
              </w:rPr>
              <w:t>1 września 2021 r.</w:t>
            </w:r>
          </w:p>
          <w:p w14:paraId="254EFFAA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  <w:p w14:paraId="62B2DAA6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40F5D6C9" w14:textId="3EF30785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  <w:tr w:rsidR="002603A9" w:rsidRPr="002603A9" w14:paraId="7AB92F7D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4ED7AFB" w14:textId="77777777" w:rsidR="002603A9" w:rsidRPr="002603A9" w:rsidRDefault="002603A9" w:rsidP="002603A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59398D8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Zimowa przerwa świąteczna</w:t>
            </w:r>
          </w:p>
          <w:p w14:paraId="2A5B7002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6616657" w14:textId="4F58A8EB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lang w:eastAsia="pl-PL"/>
              </w:rPr>
              <w:t>23 - 31 grudnia 2021 r.</w:t>
            </w:r>
          </w:p>
          <w:p w14:paraId="519FE455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7D95E683" w14:textId="660E728C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zm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).</w:t>
            </w:r>
          </w:p>
        </w:tc>
      </w:tr>
      <w:tr w:rsidR="002603A9" w:rsidRPr="002603A9" w14:paraId="2B51A733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D5FD103" w14:textId="77777777" w:rsidR="002603A9" w:rsidRPr="002603A9" w:rsidRDefault="002603A9" w:rsidP="002603A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FE22AA5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Ferie zimowe</w:t>
            </w:r>
          </w:p>
          <w:p w14:paraId="328ACB84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1AE5D0D" w14:textId="77777777" w:rsidR="002603A9" w:rsidRPr="002603A9" w:rsidRDefault="002603A9" w:rsidP="002603A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shd w:val="clear" w:color="auto" w:fill="FFFFFF"/>
                <w:lang w:eastAsia="pl-PL"/>
              </w:rPr>
              <w:t>17 - 30 stycznia 2022 r.</w:t>
            </w:r>
          </w:p>
          <w:p w14:paraId="693463E2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shd w:val="clear" w:color="auto" w:fill="FFFFFF"/>
                <w:lang w:eastAsia="pl-PL"/>
              </w:rPr>
              <w:t>Województwa: kujawsko-pomorskie, lubuskie, małopolskie, świętokrzyskie, wielkopolskie</w:t>
            </w:r>
          </w:p>
          <w:p w14:paraId="19E8BCBB" w14:textId="77777777" w:rsidR="002603A9" w:rsidRPr="002603A9" w:rsidRDefault="002603A9" w:rsidP="002603A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shd w:val="clear" w:color="auto" w:fill="FFFFFF"/>
                <w:lang w:eastAsia="pl-PL"/>
              </w:rPr>
              <w:t>24 stycznia - 6 lutego 2022 r.  </w:t>
            </w:r>
          </w:p>
          <w:p w14:paraId="109D0D6E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shd w:val="clear" w:color="auto" w:fill="FFFFFF"/>
                <w:lang w:eastAsia="pl-PL"/>
              </w:rPr>
              <w:t>Województwa: podlaskie, warmińsko-mazurskie</w:t>
            </w:r>
          </w:p>
          <w:p w14:paraId="7418F0FA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shd w:val="clear" w:color="auto" w:fill="FFFFFF"/>
                <w:lang w:eastAsia="pl-PL"/>
              </w:rPr>
              <w:t>31 stycznia - 13 lutego 2022 r.</w:t>
            </w:r>
            <w:r w:rsidRPr="002603A9">
              <w:rPr>
                <w:rFonts w:ascii="inherit" w:eastAsia="Times New Roman" w:hAnsi="inherit" w:cs="Open Sans"/>
                <w:color w:val="1B1B1B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14:paraId="7BE1939D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shd w:val="clear" w:color="auto" w:fill="FFFFFF"/>
                <w:lang w:eastAsia="pl-PL"/>
              </w:rPr>
              <w:t>Województwa: dolnośląskie, mazowieckie, opolskie, zachodniopomorskie</w:t>
            </w:r>
          </w:p>
          <w:p w14:paraId="17E8E45A" w14:textId="77777777" w:rsidR="002603A9" w:rsidRPr="002603A9" w:rsidRDefault="002603A9" w:rsidP="002603A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shd w:val="clear" w:color="auto" w:fill="FFFFFF"/>
                <w:lang w:eastAsia="pl-PL"/>
              </w:rPr>
              <w:t>14 – 27 lutego 2022 r. </w:t>
            </w:r>
          </w:p>
          <w:p w14:paraId="5C8CFCFA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shd w:val="clear" w:color="auto" w:fill="FFFFFF"/>
                <w:lang w:eastAsia="pl-PL"/>
              </w:rPr>
              <w:t>Województwa: lubelskie, łódzkie, podkarpackie, pomorskie, śląskie</w:t>
            </w:r>
          </w:p>
          <w:p w14:paraId="27D1EA13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13D69CFF" w14:textId="561D62AE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 oraz § 3 ust. 1 pkt 2 rozporządzenia Ministra Edukacji Narodowej</w:t>
            </w: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</w:tc>
      </w:tr>
      <w:tr w:rsidR="002603A9" w:rsidRPr="002603A9" w14:paraId="2EEE9542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6880AB8" w14:textId="77777777" w:rsidR="002603A9" w:rsidRPr="002603A9" w:rsidRDefault="002603A9" w:rsidP="002603A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C1021B7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Wiosenna przerwa świąteczna</w:t>
            </w:r>
          </w:p>
          <w:p w14:paraId="71EA4078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0313A6A" w14:textId="2DAFB9AB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lang w:eastAsia="pl-PL"/>
              </w:rPr>
              <w:t>14 kwietnia – 19 kwietnia 2022 r.</w:t>
            </w:r>
          </w:p>
          <w:p w14:paraId="6B9AB47F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313A918D" w14:textId="37EB7053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  <w:tr w:rsidR="002603A9" w:rsidRPr="002603A9" w14:paraId="291CD536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1E0BFF3" w14:textId="77777777" w:rsidR="002603A9" w:rsidRPr="002603A9" w:rsidRDefault="002603A9" w:rsidP="002603A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6307EE0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Egzamin ósmoklasisty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D806105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sz w:val="20"/>
                <w:szCs w:val="20"/>
                <w:lang w:eastAsia="pl-PL"/>
              </w:rPr>
              <w:t>Ustali dyrektor Centralnej Komisji Egzaminacyjnej</w:t>
            </w:r>
          </w:p>
          <w:p w14:paraId="6258922B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7AEC74EE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lastRenderedPageBreak/>
              <w:t xml:space="preserve">art. 9a ust. 2 pkt 10 lit. a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tiret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 pierwsze ustawy z dnia 7 września 1991 r. o systemie oświaty (j.t. Dz.U. z 2020 r. poz. 1327,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zm.);</w:t>
            </w:r>
          </w:p>
          <w:p w14:paraId="52C34AE3" w14:textId="078D79A4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br/>
              <w:t>w sprawie szczegółowych warunków i sposobu przeprowadzania egzaminu  ósmoklasisty (Dz. U. z 2020 r. poz. 1361).</w:t>
            </w:r>
          </w:p>
        </w:tc>
      </w:tr>
      <w:tr w:rsidR="002603A9" w:rsidRPr="002603A9" w14:paraId="372B5D1D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22C3DED" w14:textId="77777777" w:rsidR="002603A9" w:rsidRPr="002603A9" w:rsidRDefault="002603A9" w:rsidP="002603A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6F55B2" w14:textId="001871C2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4AA301C" w14:textId="25704F13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lang w:eastAsia="pl-PL"/>
              </w:rPr>
              <w:t>29 kwietnia 2022 r.</w:t>
            </w:r>
          </w:p>
          <w:p w14:paraId="40049B08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0BBC5B4D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§ 2 ust. 4 pkt 1 rozporządzenia Ministra Edukacji Narodowej i Sportu z dnia 18 kwietnia 2002 r. w sprawie organizacji roku szkolnego (Dz. U. Nr 46, poz. 432, z 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</w:t>
            </w:r>
          </w:p>
          <w:p w14:paraId="540740D5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§ 2 ust. 3 pkt 1 rozporządzenia Ministra Edukacji Narodowej z dnia 11 sierpnia 2017 r. w sprawie organizacji roku szkolnego (Dz. U. poz. 1603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zm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).</w:t>
            </w:r>
          </w:p>
          <w:p w14:paraId="354F1D7F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2603A9" w:rsidRPr="002603A9" w14:paraId="5CB833CA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5A0026C" w14:textId="77777777" w:rsidR="002603A9" w:rsidRPr="002603A9" w:rsidRDefault="002603A9" w:rsidP="002603A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4D5978A" w14:textId="4554D31D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FDEBE16" w14:textId="1998B38F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lang w:eastAsia="pl-PL"/>
              </w:rPr>
              <w:t>7 stycznia 2022 r.</w:t>
            </w:r>
          </w:p>
          <w:p w14:paraId="0F2F2325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1E63EB0E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§ 2 ust. 4 pkt 2 rozporządzenia Ministra Edukacji Narodowej i Sportu z dnia 18 kwietnia 2002 r. w sprawie organizacji roku szkolnego (Dz. U. Nr 46, poz. 432, z 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  <w:p w14:paraId="7A3D3CCB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§ 2 ust. 3 pkt 2 rozporządzenia Ministra Edukacji Narodowej z dnia 11 sierpnia 2017 r. w sprawie organizacji roku szkolnego (Dz. U. poz. 1603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  <w:p w14:paraId="1A52273E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2603A9" w:rsidRPr="002603A9" w14:paraId="50A7F655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1A7A40D" w14:textId="77777777" w:rsidR="002603A9" w:rsidRPr="002603A9" w:rsidRDefault="002603A9" w:rsidP="002603A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74D4E21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</w:t>
            </w:r>
          </w:p>
          <w:p w14:paraId="45A5ECD5" w14:textId="6FCF92D8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 xml:space="preserve">oraz w szkołach policealnych kształcących w zawodach o </w:t>
            </w: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lastRenderedPageBreak/>
              <w:t>półtorarocznym lub dwuipółletnim okresie nauczania, w których zajęcia dydaktyczno-wychowawcze rozpoczynają się w pierwszym powszednim dniu września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3CB1F7C" w14:textId="79B9CE75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lang w:eastAsia="pl-PL"/>
              </w:rPr>
              <w:lastRenderedPageBreak/>
              <w:t>28 stycznia 2022 r.</w:t>
            </w:r>
          </w:p>
          <w:p w14:paraId="0283CF56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15B5D051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zm.);</w:t>
            </w:r>
          </w:p>
          <w:p w14:paraId="7B055E22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§ 2 ust. 2 rozporządzenia Ministra Edukacji Narodowej z dnia 11 sierpnia 2017 r. w sprawie organizacji roku szkolnego (Dz. U. poz. 1603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zm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).</w:t>
            </w:r>
          </w:p>
          <w:p w14:paraId="17F943BA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2603A9" w:rsidRPr="002603A9" w14:paraId="21C6E332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6A20AD2" w14:textId="77777777" w:rsidR="002603A9" w:rsidRPr="002603A9" w:rsidRDefault="002603A9" w:rsidP="002603A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186025E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Egzamin maturalny</w:t>
            </w:r>
          </w:p>
          <w:p w14:paraId="2D158F17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5B4EC5" w14:textId="5F568D60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sz w:val="20"/>
                <w:szCs w:val="20"/>
                <w:lang w:eastAsia="pl-PL"/>
              </w:rPr>
              <w:t>Ustali dyrektor Centralnej Komisji Egzaminacyjnej</w:t>
            </w:r>
          </w:p>
          <w:p w14:paraId="7BE9BCBF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50FADBC7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tiret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 pierwsze ustawy z dnia 7 września 1991 r. o systemie oświaty (j.t. Dz.U. z 2020 r. poz. 13227,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zm.);</w:t>
            </w:r>
          </w:p>
          <w:p w14:paraId="7CB0B2C3" w14:textId="371FA25B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§ 6 pkt 1 rozporządzenia Ministra Edukacji Narodowej z dnia 21 grudnia 2016 r. w sprawie szczegółowych warunków i sposobu przeprowadzania egzaminu  gimnazjalnego  i  egzaminu maturalnego (Dz.U. poz. 2223,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  <w:tr w:rsidR="002603A9" w:rsidRPr="002603A9" w14:paraId="2F50DFA6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06AE7B" w14:textId="77777777" w:rsidR="002603A9" w:rsidRPr="002603A9" w:rsidRDefault="002603A9" w:rsidP="002603A9">
            <w:pPr>
              <w:spacing w:after="0" w:line="240" w:lineRule="auto"/>
              <w:ind w:left="375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960A32A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Egzamin zawodowy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87B169F" w14:textId="372C03F5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sz w:val="20"/>
                <w:szCs w:val="20"/>
                <w:lang w:eastAsia="pl-PL"/>
              </w:rPr>
              <w:t>Ustali dyrektor Centralnej Komisji Egzaminacyjnej</w:t>
            </w:r>
          </w:p>
          <w:p w14:paraId="0804A748" w14:textId="76E83246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i/>
                <w:iCs/>
                <w:color w:val="1B1B1B"/>
                <w:sz w:val="20"/>
                <w:szCs w:val="20"/>
                <w:lang w:eastAsia="pl-PL"/>
              </w:rPr>
              <w:t>(</w:t>
            </w:r>
            <w:hyperlink r:id="rId5" w:history="1">
              <w:r w:rsidRPr="002603A9">
                <w:rPr>
                  <w:rFonts w:ascii="inherit" w:eastAsia="Times New Roman" w:hAnsi="inherit" w:cs="Open Sans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2603A9">
              <w:rPr>
                <w:rFonts w:ascii="inherit" w:eastAsia="Times New Roman" w:hAnsi="inherit" w:cs="Open Sans"/>
                <w:b/>
                <w:bCs/>
                <w:i/>
                <w:iCs/>
                <w:color w:val="1B1B1B"/>
                <w:sz w:val="20"/>
                <w:szCs w:val="20"/>
                <w:lang w:eastAsia="pl-PL"/>
              </w:rPr>
              <w:t>)</w:t>
            </w:r>
          </w:p>
          <w:p w14:paraId="35922017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2D18E689" w14:textId="04CE368A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tiret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 pierwsze ustawy z dnia 7 września 1991 r. o systemie oświaty w brzmieniu nadanym ustawą z dnia 22 listopada 2018 r. o zmianie ustawy – Prawo oświatowe, ustawy o systemie oświaty oraz niektórych innych ustaw (Dz. U. z 2018 r. poz. 2245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</w:t>
            </w:r>
          </w:p>
        </w:tc>
      </w:tr>
      <w:tr w:rsidR="002603A9" w:rsidRPr="002603A9" w14:paraId="4A66B086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CA0C0E4" w14:textId="77777777" w:rsidR="002603A9" w:rsidRPr="002603A9" w:rsidRDefault="002603A9" w:rsidP="002603A9">
            <w:pPr>
              <w:spacing w:after="0" w:line="240" w:lineRule="auto"/>
              <w:ind w:left="375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14BFA5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Egzamin potwierdzający kwalifikacje w zawodzie</w:t>
            </w:r>
          </w:p>
          <w:p w14:paraId="0D090E76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632AD5B" w14:textId="6511929A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sz w:val="20"/>
                <w:szCs w:val="20"/>
                <w:lang w:eastAsia="pl-PL"/>
              </w:rPr>
              <w:t>Ustali dyrektor Centralnej Komisji Egzaminacyjnej</w:t>
            </w:r>
          </w:p>
          <w:p w14:paraId="0B7A1896" w14:textId="1325F034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i/>
                <w:iCs/>
                <w:color w:val="1B1B1B"/>
                <w:sz w:val="20"/>
                <w:szCs w:val="20"/>
                <w:lang w:eastAsia="pl-PL"/>
              </w:rPr>
              <w:t>(</w:t>
            </w:r>
            <w:hyperlink r:id="rId6" w:history="1">
              <w:r w:rsidRPr="002603A9">
                <w:rPr>
                  <w:rFonts w:ascii="inherit" w:eastAsia="Times New Roman" w:hAnsi="inherit" w:cs="Open Sans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2603A9">
              <w:rPr>
                <w:rFonts w:ascii="inherit" w:eastAsia="Times New Roman" w:hAnsi="inherit" w:cs="Open Sans"/>
                <w:b/>
                <w:bCs/>
                <w:i/>
                <w:iCs/>
                <w:color w:val="1B1B1B"/>
                <w:sz w:val="20"/>
                <w:szCs w:val="20"/>
                <w:lang w:eastAsia="pl-PL"/>
              </w:rPr>
              <w:t>)</w:t>
            </w:r>
          </w:p>
          <w:p w14:paraId="660DE2AB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31740168" w14:textId="1A8CF78B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tiret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 pierwsze ustawy z dnia 7 września 1991 r. o systemie oświaty (j.t. Dz.U. z 2020 r. poz.1327,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</w:t>
            </w:r>
          </w:p>
        </w:tc>
      </w:tr>
      <w:tr w:rsidR="002603A9" w:rsidRPr="002603A9" w14:paraId="2DEB2009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08ED1EE" w14:textId="77777777" w:rsidR="002603A9" w:rsidRPr="002603A9" w:rsidRDefault="002603A9" w:rsidP="002603A9">
            <w:pPr>
              <w:spacing w:after="0" w:line="240" w:lineRule="auto"/>
              <w:ind w:left="375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2187BB7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Zakończenie zajęć dydaktyczno-wychowawczych</w:t>
            </w:r>
          </w:p>
          <w:p w14:paraId="604EF6AB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w szkołach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2212264A" w14:textId="258CCF75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lang w:eastAsia="pl-PL"/>
              </w:rPr>
              <w:t>24 czerwca 2022 r.</w:t>
            </w:r>
          </w:p>
          <w:p w14:paraId="2D53B9DA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2989FE3C" w14:textId="55F7C655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zm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).</w:t>
            </w:r>
          </w:p>
        </w:tc>
      </w:tr>
      <w:tr w:rsidR="002603A9" w:rsidRPr="002603A9" w14:paraId="4C4A83C2" w14:textId="77777777" w:rsidTr="002603A9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3038D163" w14:textId="77777777" w:rsidR="002603A9" w:rsidRPr="002603A9" w:rsidRDefault="002603A9" w:rsidP="002603A9">
            <w:pPr>
              <w:spacing w:after="0" w:line="240" w:lineRule="auto"/>
              <w:ind w:left="375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EC58DD2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color w:val="1B1B1B"/>
                <w:lang w:eastAsia="pl-PL"/>
              </w:rPr>
              <w:t>Ferie letnie</w:t>
            </w:r>
          </w:p>
          <w:p w14:paraId="4BDE765F" w14:textId="77777777" w:rsidR="002603A9" w:rsidRPr="002603A9" w:rsidRDefault="002603A9" w:rsidP="002603A9">
            <w:pPr>
              <w:spacing w:after="24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54B59312" w14:textId="6A196E5A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b/>
                <w:bCs/>
                <w:color w:val="1B1B1B"/>
                <w:lang w:eastAsia="pl-PL"/>
              </w:rPr>
              <w:t>25 czerwca - 31 sierpnia 2022 r.</w:t>
            </w:r>
          </w:p>
          <w:p w14:paraId="54D7F314" w14:textId="77777777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Podstawa prawna:</w:t>
            </w:r>
          </w:p>
          <w:p w14:paraId="23569979" w14:textId="0835B54D" w:rsidR="002603A9" w:rsidRPr="002603A9" w:rsidRDefault="002603A9" w:rsidP="002603A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pl-PL"/>
              </w:rPr>
            </w:pP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2603A9">
              <w:rPr>
                <w:rFonts w:ascii="inherit" w:eastAsia="Times New Roman" w:hAnsi="inherit" w:cs="Open Sans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</w:tbl>
    <w:p w14:paraId="08DDF48E" w14:textId="77777777" w:rsidR="00AC5BF7" w:rsidRDefault="00AC5BF7"/>
    <w:sectPr w:rsidR="00AC5BF7" w:rsidSect="00260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45"/>
    <w:multiLevelType w:val="multilevel"/>
    <w:tmpl w:val="3B5A5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1B68"/>
    <w:multiLevelType w:val="multilevel"/>
    <w:tmpl w:val="13DC6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F38CA"/>
    <w:multiLevelType w:val="multilevel"/>
    <w:tmpl w:val="A2DA0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D2F26"/>
    <w:multiLevelType w:val="multilevel"/>
    <w:tmpl w:val="F214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1C28A1"/>
    <w:multiLevelType w:val="multilevel"/>
    <w:tmpl w:val="E408A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62FA9"/>
    <w:multiLevelType w:val="multilevel"/>
    <w:tmpl w:val="5BE2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235CE"/>
    <w:multiLevelType w:val="multilevel"/>
    <w:tmpl w:val="BF689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96672"/>
    <w:multiLevelType w:val="multilevel"/>
    <w:tmpl w:val="E56AD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8663C"/>
    <w:multiLevelType w:val="multilevel"/>
    <w:tmpl w:val="C50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7407EF"/>
    <w:multiLevelType w:val="multilevel"/>
    <w:tmpl w:val="19286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55522"/>
    <w:multiLevelType w:val="multilevel"/>
    <w:tmpl w:val="6AD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4C28ED"/>
    <w:multiLevelType w:val="multilevel"/>
    <w:tmpl w:val="69544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A9"/>
    <w:rsid w:val="002603A9"/>
    <w:rsid w:val="00A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2D4B"/>
  <w15:chartTrackingRefBased/>
  <w15:docId w15:val="{2A316E97-ECC1-41D1-B54C-19DC9EDB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03A9"/>
    <w:rPr>
      <w:b/>
      <w:bCs/>
    </w:rPr>
  </w:style>
  <w:style w:type="character" w:styleId="Uwydatnienie">
    <w:name w:val="Emphasis"/>
    <w:basedOn w:val="Domylnaczcionkaakapitu"/>
    <w:uiPriority w:val="20"/>
    <w:qFormat/>
    <w:rsid w:val="002603A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6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2021-08-30T08:40:00Z</dcterms:created>
  <dcterms:modified xsi:type="dcterms:W3CDTF">2021-08-30T08:44:00Z</dcterms:modified>
</cp:coreProperties>
</file>